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A17" w:rsidRPr="00584720" w:rsidRDefault="00154346">
      <w:pPr>
        <w:tabs>
          <w:tab w:val="left" w:pos="4962"/>
        </w:tabs>
        <w:spacing w:after="0"/>
        <w:ind w:left="5670"/>
        <w:jc w:val="both"/>
        <w:rPr>
          <w:rFonts w:ascii="Times New Roman" w:eastAsia="Times New Roman" w:hAnsi="Times New Roman" w:cs="Times New Roman"/>
          <w:sz w:val="28"/>
          <w:szCs w:val="28"/>
        </w:rPr>
      </w:pPr>
      <w:r w:rsidRPr="00584720">
        <w:rPr>
          <w:rFonts w:ascii="Times New Roman" w:eastAsia="Times New Roman" w:hAnsi="Times New Roman" w:cs="Times New Roman"/>
          <w:sz w:val="28"/>
          <w:szCs w:val="28"/>
        </w:rPr>
        <w:t>Appendix 1</w:t>
      </w:r>
    </w:p>
    <w:p w:rsidR="006F2A17" w:rsidRPr="00584720" w:rsidRDefault="001619CA">
      <w:pPr>
        <w:tabs>
          <w:tab w:val="left" w:pos="4962"/>
        </w:tabs>
        <w:spacing w:after="0"/>
        <w:ind w:left="5670"/>
        <w:jc w:val="both"/>
        <w:rPr>
          <w:rFonts w:ascii="Times New Roman" w:eastAsia="Times New Roman" w:hAnsi="Times New Roman" w:cs="Times New Roman"/>
          <w:sz w:val="28"/>
          <w:szCs w:val="28"/>
        </w:rPr>
      </w:pPr>
      <w:r w:rsidRPr="00584720">
        <w:rPr>
          <w:rFonts w:ascii="Times New Roman" w:eastAsia="Times New Roman" w:hAnsi="Times New Roman" w:cs="Times New Roman"/>
          <w:sz w:val="28"/>
          <w:szCs w:val="28"/>
        </w:rPr>
        <w:t>to Requirements to Module 1 electronic common technical document (eCTD) specification with recommendations for submitting registration dossier materials in electronic common technical document (eCTD)</w:t>
      </w:r>
    </w:p>
    <w:p w:rsidR="006F2A17" w:rsidRPr="00584720" w:rsidRDefault="001619CA">
      <w:pPr>
        <w:tabs>
          <w:tab w:val="left" w:pos="4962"/>
        </w:tabs>
        <w:spacing w:after="0"/>
        <w:ind w:left="5670"/>
        <w:jc w:val="both"/>
        <w:rPr>
          <w:rFonts w:ascii="Times New Roman" w:eastAsia="Times New Roman" w:hAnsi="Times New Roman" w:cs="Times New Roman"/>
          <w:sz w:val="28"/>
          <w:szCs w:val="28"/>
        </w:rPr>
      </w:pPr>
      <w:r w:rsidRPr="00584720">
        <w:rPr>
          <w:rFonts w:ascii="Times New Roman" w:eastAsia="Times New Roman" w:hAnsi="Times New Roman" w:cs="Times New Roman"/>
          <w:sz w:val="28"/>
          <w:szCs w:val="28"/>
        </w:rPr>
        <w:t>(</w:t>
      </w:r>
      <w:r w:rsidR="00154346" w:rsidRPr="00584720">
        <w:rPr>
          <w:rFonts w:ascii="Times New Roman" w:eastAsia="Times New Roman" w:hAnsi="Times New Roman" w:cs="Times New Roman"/>
          <w:sz w:val="28"/>
          <w:szCs w:val="28"/>
        </w:rPr>
        <w:t>item 3 of section І</w:t>
      </w:r>
      <w:r w:rsidRPr="00584720">
        <w:rPr>
          <w:rFonts w:ascii="Times New Roman" w:eastAsia="Times New Roman" w:hAnsi="Times New Roman" w:cs="Times New Roman"/>
          <w:sz w:val="28"/>
          <w:szCs w:val="28"/>
        </w:rPr>
        <w:t>)</w:t>
      </w:r>
      <w:bookmarkStart w:id="0" w:name="_GoBack"/>
      <w:bookmarkEnd w:id="0"/>
    </w:p>
    <w:p w:rsidR="006F2A17" w:rsidRPr="00584720" w:rsidRDefault="006F2A17">
      <w:pPr>
        <w:jc w:val="center"/>
        <w:rPr>
          <w:rFonts w:ascii="Times New Roman" w:eastAsia="Times New Roman" w:hAnsi="Times New Roman" w:cs="Times New Roman"/>
          <w:b/>
          <w:sz w:val="24"/>
          <w:szCs w:val="24"/>
        </w:rPr>
      </w:pPr>
    </w:p>
    <w:p w:rsidR="006F2A17" w:rsidRPr="00584720" w:rsidRDefault="001619CA">
      <w:pPr>
        <w:jc w:val="center"/>
        <w:rPr>
          <w:rFonts w:ascii="Times New Roman" w:eastAsia="Times New Roman" w:hAnsi="Times New Roman" w:cs="Times New Roman"/>
          <w:b/>
          <w:sz w:val="24"/>
          <w:szCs w:val="24"/>
        </w:rPr>
      </w:pPr>
      <w:bookmarkStart w:id="1" w:name="_heading=h.30j0zll" w:colFirst="0" w:colLast="0"/>
      <w:bookmarkEnd w:id="1"/>
      <w:r w:rsidRPr="00584720">
        <w:rPr>
          <w:rFonts w:ascii="Times New Roman" w:eastAsia="Times New Roman" w:hAnsi="Times New Roman" w:cs="Times New Roman"/>
          <w:b/>
          <w:sz w:val="24"/>
          <w:szCs w:val="24"/>
        </w:rPr>
        <w:t>Envelope Element Description</w:t>
      </w:r>
    </w:p>
    <w:p w:rsidR="006F2A17" w:rsidRPr="00584720" w:rsidRDefault="001619CA">
      <w:pPr>
        <w:jc w:val="both"/>
        <w:rPr>
          <w:rFonts w:ascii="Times New Roman" w:eastAsia="Times New Roman" w:hAnsi="Times New Roman" w:cs="Times New Roman"/>
          <w:sz w:val="24"/>
          <w:szCs w:val="24"/>
        </w:rPr>
      </w:pPr>
      <w:r w:rsidRPr="00584720">
        <w:rPr>
          <w:rFonts w:ascii="Times New Roman" w:eastAsia="Times New Roman" w:hAnsi="Times New Roman" w:cs="Times New Roman"/>
          <w:sz w:val="24"/>
          <w:szCs w:val="24"/>
        </w:rPr>
        <w:t>The "</w:t>
      </w:r>
      <w:proofErr w:type="spellStart"/>
      <w:r w:rsidRPr="00584720">
        <w:rPr>
          <w:rFonts w:ascii="Times New Roman" w:eastAsia="Times New Roman" w:hAnsi="Times New Roman" w:cs="Times New Roman"/>
          <w:sz w:val="24"/>
          <w:szCs w:val="24"/>
        </w:rPr>
        <w:t>ua</w:t>
      </w:r>
      <w:proofErr w:type="spellEnd"/>
      <w:r w:rsidRPr="00584720">
        <w:rPr>
          <w:rFonts w:ascii="Times New Roman" w:eastAsia="Times New Roman" w:hAnsi="Times New Roman" w:cs="Times New Roman"/>
          <w:sz w:val="24"/>
          <w:szCs w:val="24"/>
        </w:rPr>
        <w:t>-envelope" element is the root element that defines the meta-data of the submission. This element may contain several envelope entries.</w:t>
      </w:r>
    </w:p>
    <w:tbl>
      <w:tblPr>
        <w:tblStyle w:val="aff1"/>
        <w:tblpPr w:leftFromText="180" w:rightFromText="180" w:vertAnchor="text" w:tblpY="1"/>
        <w:tblOverlap w:val="never"/>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1134"/>
        <w:gridCol w:w="3544"/>
        <w:gridCol w:w="1275"/>
        <w:gridCol w:w="1276"/>
        <w:gridCol w:w="1417"/>
      </w:tblGrid>
      <w:tr w:rsidR="006F2A17" w:rsidRPr="00584720" w:rsidTr="0057074B">
        <w:tc>
          <w:tcPr>
            <w:tcW w:w="1555" w:type="dxa"/>
          </w:tcPr>
          <w:p w:rsidR="006F2A17" w:rsidRPr="00584720" w:rsidRDefault="001619CA" w:rsidP="0057074B">
            <w:pPr>
              <w:jc w:val="both"/>
              <w:rPr>
                <w:rFonts w:ascii="Times New Roman" w:eastAsia="Times New Roman" w:hAnsi="Times New Roman" w:cs="Times New Roman"/>
                <w:b/>
              </w:rPr>
            </w:pPr>
            <w:bookmarkStart w:id="2" w:name="_heading=h.gjdgxs" w:colFirst="0" w:colLast="0"/>
            <w:bookmarkEnd w:id="2"/>
            <w:r w:rsidRPr="00584720">
              <w:rPr>
                <w:rFonts w:ascii="Times New Roman" w:eastAsia="Times New Roman" w:hAnsi="Times New Roman" w:cs="Times New Roman"/>
                <w:b/>
              </w:rPr>
              <w:t>Element</w:t>
            </w:r>
          </w:p>
        </w:tc>
        <w:tc>
          <w:tcPr>
            <w:tcW w:w="1134" w:type="dxa"/>
          </w:tcPr>
          <w:p w:rsidR="006F2A17" w:rsidRPr="00584720" w:rsidRDefault="001619CA" w:rsidP="0057074B">
            <w:pPr>
              <w:jc w:val="both"/>
              <w:rPr>
                <w:rFonts w:ascii="Times New Roman" w:eastAsia="Times New Roman" w:hAnsi="Times New Roman" w:cs="Times New Roman"/>
                <w:b/>
              </w:rPr>
            </w:pPr>
            <w:r w:rsidRPr="00584720">
              <w:rPr>
                <w:rFonts w:ascii="Times New Roman" w:eastAsia="Times New Roman" w:hAnsi="Times New Roman" w:cs="Times New Roman"/>
                <w:b/>
              </w:rPr>
              <w:t>Attribute</w:t>
            </w:r>
          </w:p>
        </w:tc>
        <w:tc>
          <w:tcPr>
            <w:tcW w:w="3544" w:type="dxa"/>
          </w:tcPr>
          <w:p w:rsidR="006F2A17" w:rsidRPr="00584720" w:rsidRDefault="001619CA" w:rsidP="0057074B">
            <w:pPr>
              <w:jc w:val="both"/>
              <w:rPr>
                <w:rFonts w:ascii="Times New Roman" w:eastAsia="Times New Roman" w:hAnsi="Times New Roman" w:cs="Times New Roman"/>
                <w:b/>
              </w:rPr>
            </w:pPr>
            <w:r w:rsidRPr="00584720">
              <w:rPr>
                <w:rFonts w:ascii="Times New Roman" w:eastAsia="Times New Roman" w:hAnsi="Times New Roman" w:cs="Times New Roman"/>
                <w:b/>
              </w:rPr>
              <w:t>Description/Instructions</w:t>
            </w:r>
          </w:p>
        </w:tc>
        <w:tc>
          <w:tcPr>
            <w:tcW w:w="1275" w:type="dxa"/>
          </w:tcPr>
          <w:p w:rsidR="006F2A17" w:rsidRPr="00584720" w:rsidRDefault="001619CA" w:rsidP="0057074B">
            <w:pPr>
              <w:jc w:val="both"/>
              <w:rPr>
                <w:rFonts w:ascii="Times New Roman" w:eastAsia="Times New Roman" w:hAnsi="Times New Roman" w:cs="Times New Roman"/>
                <w:b/>
              </w:rPr>
            </w:pPr>
            <w:r w:rsidRPr="00584720">
              <w:rPr>
                <w:rFonts w:ascii="Times New Roman" w:eastAsia="Times New Roman" w:hAnsi="Times New Roman" w:cs="Times New Roman"/>
                <w:b/>
              </w:rPr>
              <w:t>Example</w:t>
            </w:r>
          </w:p>
        </w:tc>
        <w:tc>
          <w:tcPr>
            <w:tcW w:w="1276" w:type="dxa"/>
          </w:tcPr>
          <w:p w:rsidR="006F2A17" w:rsidRPr="00584720" w:rsidRDefault="001619CA" w:rsidP="0057074B">
            <w:pPr>
              <w:jc w:val="both"/>
              <w:rPr>
                <w:rFonts w:ascii="Times New Roman" w:eastAsia="Times New Roman" w:hAnsi="Times New Roman" w:cs="Times New Roman"/>
                <w:b/>
              </w:rPr>
            </w:pPr>
            <w:r w:rsidRPr="00584720">
              <w:rPr>
                <w:rFonts w:ascii="Times New Roman" w:eastAsia="Times New Roman" w:hAnsi="Times New Roman" w:cs="Times New Roman"/>
                <w:b/>
              </w:rPr>
              <w:t>Constraint</w:t>
            </w:r>
          </w:p>
        </w:tc>
        <w:tc>
          <w:tcPr>
            <w:tcW w:w="1417" w:type="dxa"/>
          </w:tcPr>
          <w:p w:rsidR="006F2A17" w:rsidRPr="00584720" w:rsidRDefault="001619CA" w:rsidP="0057074B">
            <w:pPr>
              <w:jc w:val="both"/>
              <w:rPr>
                <w:rFonts w:ascii="Times New Roman" w:eastAsia="Times New Roman" w:hAnsi="Times New Roman" w:cs="Times New Roman"/>
                <w:b/>
              </w:rPr>
            </w:pPr>
            <w:r w:rsidRPr="00584720">
              <w:rPr>
                <w:rFonts w:ascii="Times New Roman" w:eastAsia="Times New Roman" w:hAnsi="Times New Roman" w:cs="Times New Roman"/>
                <w:b/>
              </w:rPr>
              <w:t>Occurrence</w:t>
            </w:r>
          </w:p>
        </w:tc>
      </w:tr>
      <w:tr w:rsidR="006F2A17" w:rsidRPr="00584720" w:rsidTr="0057074B">
        <w:tc>
          <w:tcPr>
            <w:tcW w:w="1555" w:type="dxa"/>
          </w:tcPr>
          <w:p w:rsidR="006F2A17" w:rsidRPr="00584720" w:rsidRDefault="001619CA" w:rsidP="0057074B">
            <w:pPr>
              <w:jc w:val="both"/>
              <w:rPr>
                <w:rFonts w:ascii="Times New Roman" w:eastAsia="Times New Roman" w:hAnsi="Times New Roman" w:cs="Times New Roman"/>
              </w:rPr>
            </w:pPr>
            <w:proofErr w:type="spellStart"/>
            <w:r w:rsidRPr="00584720">
              <w:rPr>
                <w:rFonts w:ascii="Times New Roman" w:eastAsia="Times New Roman" w:hAnsi="Times New Roman" w:cs="Times New Roman"/>
              </w:rPr>
              <w:t>ua</w:t>
            </w:r>
            <w:proofErr w:type="spellEnd"/>
            <w:r w:rsidRPr="00584720">
              <w:rPr>
                <w:rFonts w:ascii="Times New Roman" w:eastAsia="Times New Roman" w:hAnsi="Times New Roman" w:cs="Times New Roman"/>
                <w:color w:val="000000"/>
              </w:rPr>
              <w:t>-envelope</w:t>
            </w:r>
          </w:p>
        </w:tc>
        <w:tc>
          <w:tcPr>
            <w:tcW w:w="1134" w:type="dxa"/>
          </w:tcPr>
          <w:p w:rsidR="006F2A17" w:rsidRPr="00584720" w:rsidRDefault="006F2A17" w:rsidP="0057074B">
            <w:pPr>
              <w:jc w:val="both"/>
              <w:rPr>
                <w:rFonts w:ascii="Times New Roman" w:eastAsia="Times New Roman" w:hAnsi="Times New Roman" w:cs="Times New Roman"/>
              </w:rPr>
            </w:pPr>
          </w:p>
        </w:tc>
        <w:tc>
          <w:tcPr>
            <w:tcW w:w="3544"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Root element that provides meta-data for the submission</w:t>
            </w:r>
          </w:p>
        </w:tc>
        <w:tc>
          <w:tcPr>
            <w:tcW w:w="1275" w:type="dxa"/>
          </w:tcPr>
          <w:p w:rsidR="006F2A17" w:rsidRPr="00584720" w:rsidRDefault="006F2A17" w:rsidP="0057074B">
            <w:pPr>
              <w:jc w:val="both"/>
              <w:rPr>
                <w:rFonts w:ascii="Times New Roman" w:eastAsia="Times New Roman" w:hAnsi="Times New Roman" w:cs="Times New Roman"/>
              </w:rPr>
            </w:pPr>
          </w:p>
        </w:tc>
        <w:tc>
          <w:tcPr>
            <w:tcW w:w="1276"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Mandatory</w:t>
            </w:r>
          </w:p>
        </w:tc>
        <w:tc>
          <w:tcPr>
            <w:tcW w:w="1417"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Unique</w:t>
            </w:r>
          </w:p>
        </w:tc>
      </w:tr>
      <w:tr w:rsidR="006F2A17" w:rsidRPr="00584720" w:rsidTr="0057074B">
        <w:tc>
          <w:tcPr>
            <w:tcW w:w="155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envelope</w:t>
            </w:r>
          </w:p>
        </w:tc>
        <w:tc>
          <w:tcPr>
            <w:tcW w:w="1134"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country</w:t>
            </w:r>
          </w:p>
        </w:tc>
        <w:tc>
          <w:tcPr>
            <w:tcW w:w="3544"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Country code</w:t>
            </w:r>
          </w:p>
        </w:tc>
        <w:tc>
          <w:tcPr>
            <w:tcW w:w="1275" w:type="dxa"/>
          </w:tcPr>
          <w:p w:rsidR="006F2A17" w:rsidRPr="00584720" w:rsidRDefault="001619CA" w:rsidP="0057074B">
            <w:pPr>
              <w:jc w:val="both"/>
              <w:rPr>
                <w:rFonts w:ascii="Times New Roman" w:eastAsia="Times New Roman" w:hAnsi="Times New Roman" w:cs="Times New Roman"/>
              </w:rPr>
            </w:pPr>
            <w:proofErr w:type="spellStart"/>
            <w:r w:rsidRPr="00584720">
              <w:rPr>
                <w:rFonts w:ascii="Times New Roman" w:eastAsia="Times New Roman" w:hAnsi="Times New Roman" w:cs="Times New Roman"/>
              </w:rPr>
              <w:t>ua</w:t>
            </w:r>
            <w:proofErr w:type="spellEnd"/>
          </w:p>
        </w:tc>
        <w:tc>
          <w:tcPr>
            <w:tcW w:w="1276"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Mandatory</w:t>
            </w:r>
          </w:p>
        </w:tc>
        <w:tc>
          <w:tcPr>
            <w:tcW w:w="1417"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Unique</w:t>
            </w:r>
          </w:p>
        </w:tc>
      </w:tr>
      <w:tr w:rsidR="006F2A17" w:rsidRPr="00584720" w:rsidTr="0057074B">
        <w:tc>
          <w:tcPr>
            <w:tcW w:w="155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identifier</w:t>
            </w:r>
          </w:p>
        </w:tc>
        <w:tc>
          <w:tcPr>
            <w:tcW w:w="1134" w:type="dxa"/>
          </w:tcPr>
          <w:p w:rsidR="006F2A17" w:rsidRPr="00584720" w:rsidRDefault="006F2A17" w:rsidP="0057074B">
            <w:pPr>
              <w:jc w:val="both"/>
              <w:rPr>
                <w:rFonts w:ascii="Times New Roman" w:eastAsia="Times New Roman" w:hAnsi="Times New Roman" w:cs="Times New Roman"/>
              </w:rPr>
            </w:pPr>
          </w:p>
        </w:tc>
        <w:tc>
          <w:tcPr>
            <w:tcW w:w="3544"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Universal Unique Identifier (UUID) is used as identifier, as specified by ISO/IEC 11578:1996 and ITU-T Rec X.667 |ISO/IEC 9834-8:2005. The same UUID will be used for all sequences of an eCTD dossier.</w:t>
            </w:r>
          </w:p>
        </w:tc>
        <w:tc>
          <w:tcPr>
            <w:tcW w:w="127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507e7caf-6908-487ba97ae28203d8195</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b</w:t>
            </w:r>
          </w:p>
        </w:tc>
        <w:tc>
          <w:tcPr>
            <w:tcW w:w="1276"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Mandatory</w:t>
            </w:r>
          </w:p>
        </w:tc>
        <w:tc>
          <w:tcPr>
            <w:tcW w:w="1417"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Unique</w:t>
            </w:r>
          </w:p>
        </w:tc>
      </w:tr>
      <w:tr w:rsidR="006F2A17" w:rsidRPr="00584720" w:rsidTr="0057074B">
        <w:tc>
          <w:tcPr>
            <w:tcW w:w="155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submission</w:t>
            </w:r>
          </w:p>
        </w:tc>
        <w:tc>
          <w:tcPr>
            <w:tcW w:w="1134" w:type="dxa"/>
          </w:tcPr>
          <w:p w:rsidR="006F2A17" w:rsidRPr="00584720" w:rsidRDefault="006F2A17" w:rsidP="0057074B">
            <w:pPr>
              <w:jc w:val="both"/>
              <w:rPr>
                <w:rFonts w:ascii="Times New Roman" w:eastAsia="Times New Roman" w:hAnsi="Times New Roman" w:cs="Times New Roman"/>
              </w:rPr>
            </w:pPr>
          </w:p>
        </w:tc>
        <w:tc>
          <w:tcPr>
            <w:tcW w:w="3544"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Provides administrative information associated with the submission</w:t>
            </w:r>
          </w:p>
        </w:tc>
        <w:tc>
          <w:tcPr>
            <w:tcW w:w="1275" w:type="dxa"/>
          </w:tcPr>
          <w:p w:rsidR="006F2A17" w:rsidRPr="00584720" w:rsidRDefault="006F2A17" w:rsidP="0057074B">
            <w:pPr>
              <w:jc w:val="both"/>
              <w:rPr>
                <w:rFonts w:ascii="Times New Roman" w:eastAsia="Times New Roman" w:hAnsi="Times New Roman" w:cs="Times New Roman"/>
              </w:rPr>
            </w:pPr>
          </w:p>
        </w:tc>
        <w:tc>
          <w:tcPr>
            <w:tcW w:w="1276"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Mandatory</w:t>
            </w:r>
          </w:p>
        </w:tc>
        <w:tc>
          <w:tcPr>
            <w:tcW w:w="1417"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Unique</w:t>
            </w:r>
          </w:p>
        </w:tc>
      </w:tr>
      <w:tr w:rsidR="006F2A17" w:rsidRPr="00584720" w:rsidTr="0057074B">
        <w:trPr>
          <w:trHeight w:val="58"/>
        </w:trPr>
        <w:tc>
          <w:tcPr>
            <w:tcW w:w="1555" w:type="dxa"/>
          </w:tcPr>
          <w:p w:rsidR="006F2A17" w:rsidRPr="00584720" w:rsidRDefault="006F2A17" w:rsidP="0057074B">
            <w:pPr>
              <w:jc w:val="both"/>
              <w:rPr>
                <w:rFonts w:ascii="Times New Roman" w:eastAsia="Times New Roman" w:hAnsi="Times New Roman" w:cs="Times New Roman"/>
              </w:rPr>
            </w:pPr>
          </w:p>
        </w:tc>
        <w:tc>
          <w:tcPr>
            <w:tcW w:w="1134"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type</w:t>
            </w:r>
          </w:p>
        </w:tc>
        <w:tc>
          <w:tcPr>
            <w:tcW w:w="3544"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Registration (</w:t>
            </w:r>
            <w:proofErr w:type="spellStart"/>
            <w:r w:rsidRPr="00584720">
              <w:rPr>
                <w:rFonts w:ascii="Times New Roman" w:eastAsia="Times New Roman" w:hAnsi="Times New Roman" w:cs="Times New Roman"/>
              </w:rPr>
              <w:t>maa</w:t>
            </w:r>
            <w:proofErr w:type="spellEnd"/>
            <w:r w:rsidRPr="00584720">
              <w:rPr>
                <w:rFonts w:ascii="Times New Roman" w:eastAsia="Times New Roman" w:hAnsi="Times New Roman" w:cs="Times New Roman"/>
              </w:rPr>
              <w:t>)</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Re-registration (renewal)</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Variation Type ІA (var-type1a)</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Variation Type ІA</w:t>
            </w:r>
            <w:r w:rsidRPr="00584720">
              <w:rPr>
                <w:rFonts w:ascii="Times New Roman" w:eastAsia="Times New Roman" w:hAnsi="Times New Roman" w:cs="Times New Roman"/>
                <w:vertAlign w:val="subscript"/>
              </w:rPr>
              <w:t>IN</w:t>
            </w:r>
            <w:r w:rsidRPr="00584720">
              <w:rPr>
                <w:rFonts w:ascii="Times New Roman" w:eastAsia="Times New Roman" w:hAnsi="Times New Roman" w:cs="Times New Roman"/>
              </w:rPr>
              <w:t xml:space="preserve"> (var-type1ain)</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Variation Type ІB (var-type1b)</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 xml:space="preserve">Variation Type ІI (var-type2) </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Variation Type І and ІІ (var-type1-2)</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Variations requiring new registration (extension)</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Change of applicant (transfer-ma)</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lastRenderedPageBreak/>
              <w:t>Technical mistake (</w:t>
            </w:r>
            <w:proofErr w:type="spellStart"/>
            <w:r w:rsidRPr="00584720">
              <w:rPr>
                <w:rFonts w:ascii="Times New Roman" w:eastAsia="Times New Roman" w:hAnsi="Times New Roman" w:cs="Times New Roman"/>
              </w:rPr>
              <w:t>var</w:t>
            </w:r>
            <w:proofErr w:type="spellEnd"/>
            <w:r w:rsidRPr="00584720">
              <w:rPr>
                <w:rFonts w:ascii="Times New Roman" w:eastAsia="Times New Roman" w:hAnsi="Times New Roman" w:cs="Times New Roman"/>
              </w:rPr>
              <w:t xml:space="preserve">-tm) </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 xml:space="preserve">Withdrawal (withdrawal) - Withdrawal of a registration certificate in regard to a strength or pharmaceutical form or entirely. This submission type shall not be used to withdraw a regulatory activity. </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None (none) – baseline submission</w:t>
            </w:r>
          </w:p>
        </w:tc>
        <w:tc>
          <w:tcPr>
            <w:tcW w:w="127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lastRenderedPageBreak/>
              <w:t>renewal</w:t>
            </w:r>
          </w:p>
        </w:tc>
        <w:tc>
          <w:tcPr>
            <w:tcW w:w="1276"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Mandatory</w:t>
            </w:r>
          </w:p>
        </w:tc>
        <w:tc>
          <w:tcPr>
            <w:tcW w:w="1417"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Unique</w:t>
            </w:r>
          </w:p>
        </w:tc>
      </w:tr>
      <w:tr w:rsidR="006F2A17" w:rsidRPr="00584720" w:rsidTr="0057074B">
        <w:tc>
          <w:tcPr>
            <w:tcW w:w="1555" w:type="dxa"/>
          </w:tcPr>
          <w:p w:rsidR="006F2A17" w:rsidRPr="00584720" w:rsidRDefault="006F2A17" w:rsidP="0057074B">
            <w:pPr>
              <w:jc w:val="both"/>
              <w:rPr>
                <w:rFonts w:ascii="Times New Roman" w:eastAsia="Times New Roman" w:hAnsi="Times New Roman" w:cs="Times New Roman"/>
              </w:rPr>
            </w:pPr>
          </w:p>
        </w:tc>
        <w:tc>
          <w:tcPr>
            <w:tcW w:w="1134"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mode</w:t>
            </w:r>
          </w:p>
          <w:p w:rsidR="006F2A17" w:rsidRPr="00584720" w:rsidRDefault="006F2A17" w:rsidP="0057074B">
            <w:pPr>
              <w:jc w:val="both"/>
              <w:rPr>
                <w:rFonts w:ascii="Times New Roman" w:eastAsia="Times New Roman" w:hAnsi="Times New Roman" w:cs="Times New Roman"/>
              </w:rPr>
            </w:pPr>
          </w:p>
        </w:tc>
        <w:tc>
          <w:tcPr>
            <w:tcW w:w="3544"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single regulatory activity</w:t>
            </w:r>
            <w:r w:rsidRPr="00584720">
              <w:t xml:space="preserve"> </w:t>
            </w:r>
            <w:r w:rsidRPr="00584720">
              <w:rPr>
                <w:rFonts w:ascii="Times New Roman" w:eastAsia="Times New Roman" w:hAnsi="Times New Roman" w:cs="Times New Roman"/>
              </w:rPr>
              <w:t>(single)</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a grouped regulatory activity (grouping)</w:t>
            </w:r>
          </w:p>
        </w:tc>
        <w:tc>
          <w:tcPr>
            <w:tcW w:w="127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single</w:t>
            </w:r>
          </w:p>
        </w:tc>
        <w:tc>
          <w:tcPr>
            <w:tcW w:w="1276"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Mandatory</w:t>
            </w:r>
          </w:p>
        </w:tc>
        <w:tc>
          <w:tcPr>
            <w:tcW w:w="1417"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Unique</w:t>
            </w:r>
          </w:p>
        </w:tc>
      </w:tr>
      <w:tr w:rsidR="006F2A17" w:rsidRPr="00584720" w:rsidTr="0057074B">
        <w:tc>
          <w:tcPr>
            <w:tcW w:w="155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number</w:t>
            </w:r>
          </w:p>
        </w:tc>
        <w:tc>
          <w:tcPr>
            <w:tcW w:w="1134" w:type="dxa"/>
          </w:tcPr>
          <w:p w:rsidR="006F2A17" w:rsidRPr="00584720" w:rsidRDefault="006F2A17" w:rsidP="0057074B">
            <w:pPr>
              <w:jc w:val="both"/>
              <w:rPr>
                <w:rFonts w:ascii="Times New Roman" w:eastAsia="Times New Roman" w:hAnsi="Times New Roman" w:cs="Times New Roman"/>
              </w:rPr>
            </w:pPr>
          </w:p>
        </w:tc>
        <w:tc>
          <w:tcPr>
            <w:tcW w:w="3544"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Element inside submission.</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This number is used by regulatory authority to track the submission, in any procedure, in relation to a particular medicinal product. This is the number of the registration form or package of registration forms</w:t>
            </w:r>
            <w:r w:rsidRPr="00584720">
              <w:t>.</w:t>
            </w:r>
          </w:p>
        </w:tc>
        <w:tc>
          <w:tcPr>
            <w:tcW w:w="127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292850-23/З-92</w:t>
            </w:r>
          </w:p>
        </w:tc>
        <w:tc>
          <w:tcPr>
            <w:tcW w:w="1276" w:type="dxa"/>
          </w:tcPr>
          <w:p w:rsidR="006F2A17" w:rsidRPr="00584720" w:rsidRDefault="001619CA" w:rsidP="0057074B">
            <w:pPr>
              <w:spacing w:after="0" w:line="240" w:lineRule="auto"/>
              <w:rPr>
                <w:rFonts w:ascii="Times New Roman" w:eastAsia="Times New Roman" w:hAnsi="Times New Roman" w:cs="Times New Roman"/>
                <w:color w:val="000000"/>
              </w:rPr>
            </w:pPr>
            <w:r w:rsidRPr="00584720">
              <w:rPr>
                <w:rFonts w:ascii="Times New Roman" w:eastAsia="Times New Roman" w:hAnsi="Times New Roman" w:cs="Times New Roman"/>
                <w:color w:val="000000"/>
              </w:rPr>
              <w:t xml:space="preserve">Mandatory </w:t>
            </w:r>
          </w:p>
          <w:p w:rsidR="006F2A17" w:rsidRPr="00584720" w:rsidRDefault="006F2A17" w:rsidP="0057074B">
            <w:pPr>
              <w:rPr>
                <w:rFonts w:ascii="Times New Roman" w:eastAsia="Times New Roman" w:hAnsi="Times New Roman" w:cs="Times New Roman"/>
              </w:rPr>
            </w:pPr>
          </w:p>
        </w:tc>
        <w:tc>
          <w:tcPr>
            <w:tcW w:w="1417" w:type="dxa"/>
          </w:tcPr>
          <w:p w:rsidR="006F2A17" w:rsidRPr="00584720" w:rsidRDefault="001619CA" w:rsidP="0057074B">
            <w:pPr>
              <w:spacing w:after="0" w:line="240" w:lineRule="auto"/>
              <w:rPr>
                <w:rFonts w:ascii="Times New Roman" w:eastAsia="Times New Roman" w:hAnsi="Times New Roman" w:cs="Times New Roman"/>
                <w:color w:val="000000"/>
              </w:rPr>
            </w:pPr>
            <w:r w:rsidRPr="00584720">
              <w:rPr>
                <w:rFonts w:ascii="Times New Roman" w:eastAsia="Times New Roman" w:hAnsi="Times New Roman" w:cs="Times New Roman"/>
                <w:color w:val="000000"/>
              </w:rPr>
              <w:t xml:space="preserve">Repeatable </w:t>
            </w:r>
          </w:p>
          <w:p w:rsidR="006F2A17" w:rsidRPr="00584720" w:rsidRDefault="006F2A17" w:rsidP="0057074B">
            <w:pPr>
              <w:rPr>
                <w:rFonts w:ascii="Times New Roman" w:eastAsia="Times New Roman" w:hAnsi="Times New Roman" w:cs="Times New Roman"/>
              </w:rPr>
            </w:pPr>
          </w:p>
        </w:tc>
      </w:tr>
      <w:tr w:rsidR="006F2A17" w:rsidRPr="00584720" w:rsidTr="0057074B">
        <w:tc>
          <w:tcPr>
            <w:tcW w:w="155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submission-unit</w:t>
            </w:r>
          </w:p>
        </w:tc>
        <w:tc>
          <w:tcPr>
            <w:tcW w:w="1134" w:type="dxa"/>
          </w:tcPr>
          <w:p w:rsidR="006F2A17" w:rsidRPr="00584720" w:rsidRDefault="006F2A17" w:rsidP="0057074B">
            <w:pPr>
              <w:jc w:val="both"/>
              <w:rPr>
                <w:rFonts w:ascii="Times New Roman" w:eastAsia="Times New Roman" w:hAnsi="Times New Roman" w:cs="Times New Roman"/>
              </w:rPr>
            </w:pPr>
          </w:p>
        </w:tc>
        <w:tc>
          <w:tcPr>
            <w:tcW w:w="3544"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Describes actions in relation to regulatory activity:</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Initial (initial) – Initial submission to start any regulatory activity.</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Validation response (validation-response) – for rectifying validation issues.</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 xml:space="preserve">Response (response) – submission unit type that contains the response to any kind of question, and information requested by the SECMOH. </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Additional information (additional-info) – Other additional information (could include, for example, missing files) and should be used, if response is not suitable.</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 xml:space="preserve">Reformatting (reformat) – this action intended to support the reformatting of an existing submission application from any format to eCTD, i.e. a baseline eCTD submission containing no content change and which will not be subject to review. This type will </w:t>
            </w:r>
            <w:r w:rsidRPr="00584720">
              <w:rPr>
                <w:rFonts w:ascii="Times New Roman" w:eastAsia="Times New Roman" w:hAnsi="Times New Roman" w:cs="Times New Roman"/>
              </w:rPr>
              <w:lastRenderedPageBreak/>
              <w:t>always be used together with the submission type ‘none’</w:t>
            </w:r>
            <w:r w:rsidRPr="00584720">
              <w:rPr>
                <w:rFonts w:ascii="Times New Roman" w:eastAsia="Times New Roman" w:hAnsi="Times New Roman" w:cs="Times New Roman"/>
                <w:sz w:val="18"/>
                <w:szCs w:val="18"/>
              </w:rPr>
              <w:t xml:space="preserve"> </w:t>
            </w:r>
            <w:r w:rsidRPr="00584720">
              <w:rPr>
                <w:rFonts w:ascii="Times New Roman" w:eastAsia="Times New Roman" w:hAnsi="Times New Roman" w:cs="Times New Roman"/>
              </w:rPr>
              <w:t>(none).</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Consolidating (consolidating) – Submission unit type that consolidates information after several procedures approved, but that need to be integrated thereafter to maintain the life cycle properly. This submission unit type should also be used when consolidating the dossier in as a result of withdrawing or rejecting a single regulatory activity.</w:t>
            </w:r>
          </w:p>
        </w:tc>
        <w:tc>
          <w:tcPr>
            <w:tcW w:w="1275" w:type="dxa"/>
          </w:tcPr>
          <w:p w:rsidR="006F2A17" w:rsidRPr="00584720" w:rsidRDefault="006F2A17" w:rsidP="0057074B">
            <w:pPr>
              <w:jc w:val="both"/>
              <w:rPr>
                <w:rFonts w:ascii="Times New Roman" w:eastAsia="Times New Roman" w:hAnsi="Times New Roman" w:cs="Times New Roman"/>
              </w:rPr>
            </w:pPr>
          </w:p>
        </w:tc>
        <w:tc>
          <w:tcPr>
            <w:tcW w:w="1276"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Mandatory</w:t>
            </w:r>
          </w:p>
        </w:tc>
        <w:tc>
          <w:tcPr>
            <w:tcW w:w="1417"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Unique</w:t>
            </w:r>
          </w:p>
        </w:tc>
      </w:tr>
      <w:tr w:rsidR="006F2A17" w:rsidRPr="00584720" w:rsidTr="0057074B">
        <w:tc>
          <w:tcPr>
            <w:tcW w:w="155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lastRenderedPageBreak/>
              <w:t>applicant</w:t>
            </w:r>
          </w:p>
        </w:tc>
        <w:tc>
          <w:tcPr>
            <w:tcW w:w="1134" w:type="dxa"/>
          </w:tcPr>
          <w:p w:rsidR="006F2A17" w:rsidRPr="00584720" w:rsidRDefault="006F2A17" w:rsidP="0057074B">
            <w:pPr>
              <w:jc w:val="both"/>
              <w:rPr>
                <w:rFonts w:ascii="Times New Roman" w:eastAsia="Times New Roman" w:hAnsi="Times New Roman" w:cs="Times New Roman"/>
              </w:rPr>
            </w:pPr>
          </w:p>
        </w:tc>
        <w:tc>
          <w:tcPr>
            <w:tcW w:w="3544"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 xml:space="preserve">The name of </w:t>
            </w:r>
            <w:r w:rsidR="0057074B" w:rsidRPr="00584720">
              <w:rPr>
                <w:rFonts w:ascii="Times New Roman" w:eastAsia="Times New Roman" w:hAnsi="Times New Roman" w:cs="Times New Roman"/>
              </w:rPr>
              <w:t>the company submitting the eCTD</w:t>
            </w:r>
          </w:p>
        </w:tc>
        <w:tc>
          <w:tcPr>
            <w:tcW w:w="1275" w:type="dxa"/>
          </w:tcPr>
          <w:p w:rsidR="006F2A17" w:rsidRPr="00584720" w:rsidRDefault="001619CA" w:rsidP="0057074B">
            <w:pPr>
              <w:jc w:val="both"/>
              <w:rPr>
                <w:rFonts w:ascii="Times New Roman" w:eastAsia="Times New Roman" w:hAnsi="Times New Roman" w:cs="Times New Roman"/>
              </w:rPr>
            </w:pPr>
            <w:proofErr w:type="spellStart"/>
            <w:r w:rsidRPr="00584720">
              <w:rPr>
                <w:rFonts w:ascii="Times New Roman" w:hAnsi="Times New Roman" w:cs="Times New Roman"/>
              </w:rPr>
              <w:t>SuperPharma</w:t>
            </w:r>
            <w:proofErr w:type="spellEnd"/>
            <w:r w:rsidRPr="00584720">
              <w:rPr>
                <w:rFonts w:ascii="Times New Roman" w:hAnsi="Times New Roman" w:cs="Times New Roman"/>
              </w:rPr>
              <w:t xml:space="preserve"> Ltd</w:t>
            </w:r>
          </w:p>
        </w:tc>
        <w:tc>
          <w:tcPr>
            <w:tcW w:w="1276"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Mandatory</w:t>
            </w:r>
          </w:p>
        </w:tc>
        <w:tc>
          <w:tcPr>
            <w:tcW w:w="1417"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Unique</w:t>
            </w:r>
          </w:p>
        </w:tc>
      </w:tr>
      <w:tr w:rsidR="006F2A17" w:rsidRPr="00584720" w:rsidTr="0057074B">
        <w:tc>
          <w:tcPr>
            <w:tcW w:w="155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agency</w:t>
            </w:r>
          </w:p>
        </w:tc>
        <w:tc>
          <w:tcPr>
            <w:tcW w:w="1134"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code</w:t>
            </w:r>
          </w:p>
          <w:p w:rsidR="006F2A17" w:rsidRPr="00584720" w:rsidRDefault="006F2A17" w:rsidP="0057074B">
            <w:pPr>
              <w:jc w:val="both"/>
              <w:rPr>
                <w:rFonts w:ascii="Times New Roman" w:eastAsia="Times New Roman" w:hAnsi="Times New Roman" w:cs="Times New Roman"/>
              </w:rPr>
            </w:pPr>
          </w:p>
        </w:tc>
        <w:tc>
          <w:tcPr>
            <w:tcW w:w="3544"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Regulatory authority</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The State Expert Center of MOH of Ukraine</w:t>
            </w:r>
          </w:p>
        </w:tc>
        <w:tc>
          <w:tcPr>
            <w:tcW w:w="127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UA-SECMOH</w:t>
            </w:r>
          </w:p>
        </w:tc>
        <w:tc>
          <w:tcPr>
            <w:tcW w:w="1276"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Mandatory</w:t>
            </w:r>
          </w:p>
        </w:tc>
        <w:tc>
          <w:tcPr>
            <w:tcW w:w="1417"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Unique</w:t>
            </w:r>
          </w:p>
        </w:tc>
      </w:tr>
      <w:tr w:rsidR="006F2A17" w:rsidRPr="00584720" w:rsidTr="0057074B">
        <w:tc>
          <w:tcPr>
            <w:tcW w:w="155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procedure</w:t>
            </w:r>
          </w:p>
        </w:tc>
        <w:tc>
          <w:tcPr>
            <w:tcW w:w="1134"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type</w:t>
            </w:r>
          </w:p>
        </w:tc>
        <w:tc>
          <w:tcPr>
            <w:tcW w:w="3544"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The type of procedure for the submission</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National (national) – type of submission in Ukraine</w:t>
            </w:r>
          </w:p>
        </w:tc>
        <w:tc>
          <w:tcPr>
            <w:tcW w:w="127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national</w:t>
            </w:r>
          </w:p>
        </w:tc>
        <w:tc>
          <w:tcPr>
            <w:tcW w:w="1276"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Mandatory</w:t>
            </w:r>
          </w:p>
        </w:tc>
        <w:tc>
          <w:tcPr>
            <w:tcW w:w="1417"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Unique</w:t>
            </w:r>
          </w:p>
        </w:tc>
      </w:tr>
      <w:tr w:rsidR="006F2A17" w:rsidRPr="00584720" w:rsidTr="0057074B">
        <w:tc>
          <w:tcPr>
            <w:tcW w:w="155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invented-name</w:t>
            </w:r>
          </w:p>
        </w:tc>
        <w:tc>
          <w:tcPr>
            <w:tcW w:w="1134" w:type="dxa"/>
          </w:tcPr>
          <w:p w:rsidR="006F2A17" w:rsidRPr="00584720" w:rsidRDefault="006F2A17" w:rsidP="0057074B">
            <w:pPr>
              <w:jc w:val="both"/>
              <w:rPr>
                <w:rFonts w:ascii="Times New Roman" w:eastAsia="Times New Roman" w:hAnsi="Times New Roman" w:cs="Times New Roman"/>
              </w:rPr>
            </w:pPr>
          </w:p>
        </w:tc>
        <w:tc>
          <w:tcPr>
            <w:tcW w:w="3544"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 xml:space="preserve">The name of the medicinal product </w:t>
            </w:r>
          </w:p>
        </w:tc>
        <w:tc>
          <w:tcPr>
            <w:tcW w:w="1275" w:type="dxa"/>
          </w:tcPr>
          <w:p w:rsidR="006F2A17" w:rsidRPr="00584720" w:rsidRDefault="001619CA" w:rsidP="0057074B">
            <w:pPr>
              <w:jc w:val="both"/>
              <w:rPr>
                <w:rFonts w:ascii="Times New Roman" w:eastAsia="Times New Roman" w:hAnsi="Times New Roman" w:cs="Times New Roman"/>
              </w:rPr>
            </w:pPr>
            <w:proofErr w:type="spellStart"/>
            <w:r w:rsidRPr="00584720">
              <w:rPr>
                <w:rFonts w:ascii="Times New Roman" w:eastAsia="Times New Roman" w:hAnsi="Times New Roman" w:cs="Times New Roman"/>
              </w:rPr>
              <w:t>Analgin</w:t>
            </w:r>
            <w:proofErr w:type="spellEnd"/>
          </w:p>
        </w:tc>
        <w:tc>
          <w:tcPr>
            <w:tcW w:w="1276" w:type="dxa"/>
          </w:tcPr>
          <w:p w:rsidR="006F2A17" w:rsidRPr="00584720" w:rsidRDefault="001619CA" w:rsidP="0057074B">
            <w:pPr>
              <w:spacing w:after="0" w:line="240" w:lineRule="auto"/>
              <w:rPr>
                <w:rFonts w:ascii="Times New Roman" w:eastAsia="Times New Roman" w:hAnsi="Times New Roman" w:cs="Times New Roman"/>
                <w:color w:val="000000"/>
              </w:rPr>
            </w:pPr>
            <w:r w:rsidRPr="00584720">
              <w:rPr>
                <w:rFonts w:ascii="Times New Roman" w:eastAsia="Times New Roman" w:hAnsi="Times New Roman" w:cs="Times New Roman"/>
                <w:color w:val="000000"/>
              </w:rPr>
              <w:t xml:space="preserve">Mandatory </w:t>
            </w:r>
          </w:p>
          <w:p w:rsidR="006F2A17" w:rsidRPr="00584720" w:rsidRDefault="006F2A17" w:rsidP="0057074B">
            <w:pPr>
              <w:rPr>
                <w:rFonts w:ascii="Times New Roman" w:eastAsia="Times New Roman" w:hAnsi="Times New Roman" w:cs="Times New Roman"/>
              </w:rPr>
            </w:pPr>
          </w:p>
        </w:tc>
        <w:tc>
          <w:tcPr>
            <w:tcW w:w="1417" w:type="dxa"/>
          </w:tcPr>
          <w:p w:rsidR="006F2A17" w:rsidRPr="00584720" w:rsidRDefault="001619CA" w:rsidP="0057074B">
            <w:pPr>
              <w:spacing w:after="0" w:line="240" w:lineRule="auto"/>
              <w:rPr>
                <w:rFonts w:ascii="Times New Roman" w:eastAsia="Times New Roman" w:hAnsi="Times New Roman" w:cs="Times New Roman"/>
                <w:color w:val="000000"/>
              </w:rPr>
            </w:pPr>
            <w:r w:rsidRPr="00584720">
              <w:rPr>
                <w:rFonts w:ascii="Times New Roman" w:eastAsia="Times New Roman" w:hAnsi="Times New Roman" w:cs="Times New Roman"/>
                <w:color w:val="000000"/>
              </w:rPr>
              <w:t xml:space="preserve">Repeatable </w:t>
            </w:r>
          </w:p>
          <w:p w:rsidR="006F2A17" w:rsidRPr="00584720" w:rsidRDefault="006F2A17" w:rsidP="0057074B">
            <w:pPr>
              <w:rPr>
                <w:rFonts w:ascii="Times New Roman" w:eastAsia="Times New Roman" w:hAnsi="Times New Roman" w:cs="Times New Roman"/>
              </w:rPr>
            </w:pPr>
          </w:p>
        </w:tc>
      </w:tr>
      <w:tr w:rsidR="006F2A17" w:rsidRPr="00584720" w:rsidTr="0057074B">
        <w:tc>
          <w:tcPr>
            <w:tcW w:w="155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inn</w:t>
            </w:r>
          </w:p>
        </w:tc>
        <w:tc>
          <w:tcPr>
            <w:tcW w:w="1134" w:type="dxa"/>
          </w:tcPr>
          <w:p w:rsidR="006F2A17" w:rsidRPr="00584720" w:rsidRDefault="006F2A17" w:rsidP="0057074B">
            <w:pPr>
              <w:jc w:val="both"/>
              <w:rPr>
                <w:rFonts w:ascii="Times New Roman" w:eastAsia="Times New Roman" w:hAnsi="Times New Roman" w:cs="Times New Roman"/>
              </w:rPr>
            </w:pPr>
          </w:p>
        </w:tc>
        <w:tc>
          <w:tcPr>
            <w:tcW w:w="3544" w:type="dxa"/>
          </w:tcPr>
          <w:p w:rsidR="006F2A17" w:rsidRPr="00584720" w:rsidRDefault="001619CA" w:rsidP="0057074B">
            <w:pPr>
              <w:spacing w:after="0"/>
              <w:jc w:val="both"/>
              <w:rPr>
                <w:rFonts w:ascii="Times New Roman" w:eastAsia="Times New Roman" w:hAnsi="Times New Roman" w:cs="Times New Roman"/>
              </w:rPr>
            </w:pPr>
            <w:r w:rsidRPr="00584720">
              <w:rPr>
                <w:rFonts w:ascii="Times New Roman" w:eastAsia="Times New Roman" w:hAnsi="Times New Roman" w:cs="Times New Roman"/>
              </w:rPr>
              <w:t xml:space="preserve">International Non-proprietary Name, used to identify pharmaceutical substances or active pharmaceutical ingredients. Each INN is a unique name that is globally recognized and is public property.  </w:t>
            </w:r>
          </w:p>
        </w:tc>
        <w:tc>
          <w:tcPr>
            <w:tcW w:w="1275" w:type="dxa"/>
          </w:tcPr>
          <w:p w:rsidR="006F2A17" w:rsidRPr="00584720" w:rsidRDefault="001619CA" w:rsidP="0057074B">
            <w:pPr>
              <w:jc w:val="both"/>
              <w:rPr>
                <w:rFonts w:ascii="Times New Roman" w:eastAsia="Times New Roman" w:hAnsi="Times New Roman" w:cs="Times New Roman"/>
              </w:rPr>
            </w:pPr>
            <w:proofErr w:type="spellStart"/>
            <w:r w:rsidRPr="00584720">
              <w:rPr>
                <w:rFonts w:ascii="Times New Roman" w:eastAsia="Times New Roman" w:hAnsi="Times New Roman" w:cs="Times New Roman"/>
              </w:rPr>
              <w:t>Metamizole</w:t>
            </w:r>
            <w:proofErr w:type="spellEnd"/>
            <w:r w:rsidRPr="00584720">
              <w:rPr>
                <w:rFonts w:ascii="Times New Roman" w:eastAsia="Times New Roman" w:hAnsi="Times New Roman" w:cs="Times New Roman"/>
              </w:rPr>
              <w:t xml:space="preserve"> sodium</w:t>
            </w:r>
          </w:p>
        </w:tc>
        <w:tc>
          <w:tcPr>
            <w:tcW w:w="1276" w:type="dxa"/>
          </w:tcPr>
          <w:p w:rsidR="006F2A17" w:rsidRPr="00584720" w:rsidRDefault="001619CA" w:rsidP="0057074B">
            <w:pPr>
              <w:spacing w:after="0" w:line="240" w:lineRule="auto"/>
              <w:rPr>
                <w:rFonts w:ascii="Times New Roman" w:eastAsia="Times New Roman" w:hAnsi="Times New Roman" w:cs="Times New Roman"/>
                <w:color w:val="000000"/>
              </w:rPr>
            </w:pPr>
            <w:r w:rsidRPr="00584720">
              <w:rPr>
                <w:rFonts w:ascii="Times New Roman" w:eastAsia="Times New Roman" w:hAnsi="Times New Roman" w:cs="Times New Roman"/>
                <w:color w:val="000000"/>
              </w:rPr>
              <w:t xml:space="preserve">Optional </w:t>
            </w:r>
          </w:p>
          <w:p w:rsidR="006F2A17" w:rsidRPr="00584720" w:rsidRDefault="001619CA" w:rsidP="0057074B">
            <w:pPr>
              <w:rPr>
                <w:rFonts w:ascii="Times New Roman" w:eastAsia="Times New Roman" w:hAnsi="Times New Roman" w:cs="Times New Roman"/>
              </w:rPr>
            </w:pPr>
            <w:r w:rsidRPr="00584720">
              <w:rPr>
                <w:rFonts w:ascii="Times New Roman" w:eastAsia="Times New Roman" w:hAnsi="Times New Roman" w:cs="Times New Roman"/>
              </w:rPr>
              <w:t xml:space="preserve"> </w:t>
            </w:r>
          </w:p>
          <w:p w:rsidR="006F2A17" w:rsidRPr="00584720" w:rsidRDefault="006F2A17" w:rsidP="0057074B">
            <w:pPr>
              <w:rPr>
                <w:rFonts w:ascii="Times New Roman" w:eastAsia="Times New Roman" w:hAnsi="Times New Roman" w:cs="Times New Roman"/>
              </w:rPr>
            </w:pPr>
          </w:p>
        </w:tc>
        <w:tc>
          <w:tcPr>
            <w:tcW w:w="1417" w:type="dxa"/>
          </w:tcPr>
          <w:p w:rsidR="006F2A17" w:rsidRPr="00584720" w:rsidRDefault="001619CA" w:rsidP="0057074B">
            <w:pPr>
              <w:spacing w:after="0" w:line="240" w:lineRule="auto"/>
              <w:rPr>
                <w:rFonts w:ascii="Times New Roman" w:eastAsia="Times New Roman" w:hAnsi="Times New Roman" w:cs="Times New Roman"/>
                <w:color w:val="000000"/>
              </w:rPr>
            </w:pPr>
            <w:r w:rsidRPr="00584720">
              <w:rPr>
                <w:rFonts w:ascii="Times New Roman" w:eastAsia="Times New Roman" w:hAnsi="Times New Roman" w:cs="Times New Roman"/>
                <w:color w:val="000000"/>
              </w:rPr>
              <w:t xml:space="preserve">Repeatable </w:t>
            </w:r>
          </w:p>
          <w:p w:rsidR="006F2A17" w:rsidRPr="00584720" w:rsidRDefault="006F2A17" w:rsidP="0057074B">
            <w:pPr>
              <w:rPr>
                <w:rFonts w:ascii="Times New Roman" w:eastAsia="Times New Roman" w:hAnsi="Times New Roman" w:cs="Times New Roman"/>
              </w:rPr>
            </w:pPr>
          </w:p>
        </w:tc>
      </w:tr>
      <w:tr w:rsidR="006F2A17" w:rsidRPr="00584720" w:rsidTr="0057074B">
        <w:tc>
          <w:tcPr>
            <w:tcW w:w="155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sequence</w:t>
            </w:r>
          </w:p>
        </w:tc>
        <w:tc>
          <w:tcPr>
            <w:tcW w:w="1134" w:type="dxa"/>
          </w:tcPr>
          <w:p w:rsidR="006F2A17" w:rsidRPr="00584720" w:rsidRDefault="006F2A17" w:rsidP="0057074B">
            <w:pPr>
              <w:jc w:val="both"/>
              <w:rPr>
                <w:rFonts w:ascii="Times New Roman" w:eastAsia="Times New Roman" w:hAnsi="Times New Roman" w:cs="Times New Roman"/>
              </w:rPr>
            </w:pPr>
          </w:p>
        </w:tc>
        <w:tc>
          <w:tcPr>
            <w:tcW w:w="3544" w:type="dxa"/>
          </w:tcPr>
          <w:p w:rsidR="006F2A17" w:rsidRPr="00584720" w:rsidRDefault="001619CA" w:rsidP="0057074B">
            <w:pPr>
              <w:spacing w:after="0"/>
              <w:jc w:val="both"/>
              <w:rPr>
                <w:rFonts w:ascii="Times New Roman" w:eastAsia="Times New Roman" w:hAnsi="Times New Roman" w:cs="Times New Roman"/>
              </w:rPr>
            </w:pPr>
            <w:r w:rsidRPr="00584720">
              <w:rPr>
                <w:rFonts w:ascii="Times New Roman" w:eastAsia="Times New Roman" w:hAnsi="Times New Roman" w:cs="Times New Roman"/>
              </w:rPr>
              <w:t>This is the sequence number of the submission – this should start at 0000 for the initial submission, and then increase incrementally with each subsequent submission related to the same medicinal product e.g. 0000, 0001, 0002, 0003 etc.</w:t>
            </w:r>
          </w:p>
        </w:tc>
        <w:tc>
          <w:tcPr>
            <w:tcW w:w="127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color w:val="000000"/>
              </w:rPr>
              <w:t>0000</w:t>
            </w:r>
          </w:p>
          <w:p w:rsidR="006F2A17" w:rsidRPr="00584720" w:rsidRDefault="006F2A17" w:rsidP="0057074B">
            <w:pPr>
              <w:jc w:val="both"/>
              <w:rPr>
                <w:rFonts w:ascii="Times New Roman" w:eastAsia="Times New Roman" w:hAnsi="Times New Roman" w:cs="Times New Roman"/>
              </w:rPr>
            </w:pPr>
          </w:p>
        </w:tc>
        <w:tc>
          <w:tcPr>
            <w:tcW w:w="1276"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Mandatory</w:t>
            </w:r>
          </w:p>
        </w:tc>
        <w:tc>
          <w:tcPr>
            <w:tcW w:w="1417"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Unique</w:t>
            </w:r>
          </w:p>
        </w:tc>
      </w:tr>
      <w:tr w:rsidR="006F2A17" w:rsidRPr="00584720" w:rsidTr="0057074B">
        <w:tc>
          <w:tcPr>
            <w:tcW w:w="155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related-sequence</w:t>
            </w:r>
          </w:p>
        </w:tc>
        <w:tc>
          <w:tcPr>
            <w:tcW w:w="1134" w:type="dxa"/>
          </w:tcPr>
          <w:p w:rsidR="006F2A17" w:rsidRPr="00584720" w:rsidRDefault="006F2A17" w:rsidP="0057074B">
            <w:pPr>
              <w:jc w:val="both"/>
              <w:rPr>
                <w:rFonts w:ascii="Times New Roman" w:eastAsia="Times New Roman" w:hAnsi="Times New Roman" w:cs="Times New Roman"/>
              </w:rPr>
            </w:pPr>
          </w:p>
        </w:tc>
        <w:tc>
          <w:tcPr>
            <w:tcW w:w="3544"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 xml:space="preserve">This is the sequence number of previous submission to which this submission relates e.g. the responses to questions to a particular variation. In the case of submission unit types (initial) and (reformat) related sequence is identical to the sequence number.  </w:t>
            </w:r>
          </w:p>
        </w:tc>
        <w:tc>
          <w:tcPr>
            <w:tcW w:w="127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0001</w:t>
            </w:r>
          </w:p>
        </w:tc>
        <w:tc>
          <w:tcPr>
            <w:tcW w:w="1276" w:type="dxa"/>
          </w:tcPr>
          <w:p w:rsidR="006F2A17" w:rsidRPr="00584720" w:rsidRDefault="00DD07F5" w:rsidP="0057074B">
            <w:pPr>
              <w:spacing w:after="0" w:line="240" w:lineRule="auto"/>
              <w:rPr>
                <w:rFonts w:ascii="Times New Roman" w:eastAsia="Times New Roman" w:hAnsi="Times New Roman" w:cs="Times New Roman"/>
                <w:color w:val="000000"/>
              </w:rPr>
            </w:pPr>
            <w:r w:rsidRPr="00584720">
              <w:rPr>
                <w:rFonts w:ascii="Times New Roman" w:eastAsia="Times New Roman" w:hAnsi="Times New Roman" w:cs="Times New Roman"/>
                <w:color w:val="000000"/>
              </w:rPr>
              <w:t>Optional</w:t>
            </w:r>
            <w:r w:rsidR="001619CA" w:rsidRPr="00584720">
              <w:rPr>
                <w:rFonts w:ascii="Times New Roman" w:eastAsia="Times New Roman" w:hAnsi="Times New Roman" w:cs="Times New Roman"/>
                <w:color w:val="000000"/>
              </w:rPr>
              <w:t xml:space="preserve"> </w:t>
            </w:r>
          </w:p>
          <w:p w:rsidR="006F2A17" w:rsidRPr="00584720" w:rsidRDefault="006F2A17" w:rsidP="0057074B">
            <w:pPr>
              <w:rPr>
                <w:rFonts w:ascii="Times New Roman" w:eastAsia="Times New Roman" w:hAnsi="Times New Roman" w:cs="Times New Roman"/>
              </w:rPr>
            </w:pPr>
          </w:p>
        </w:tc>
        <w:tc>
          <w:tcPr>
            <w:tcW w:w="1417" w:type="dxa"/>
          </w:tcPr>
          <w:p w:rsidR="006F2A17" w:rsidRPr="00584720" w:rsidRDefault="001619CA" w:rsidP="0057074B">
            <w:pPr>
              <w:spacing w:after="0" w:line="240" w:lineRule="auto"/>
              <w:rPr>
                <w:rFonts w:ascii="Times New Roman" w:eastAsia="Times New Roman" w:hAnsi="Times New Roman" w:cs="Times New Roman"/>
                <w:color w:val="000000"/>
              </w:rPr>
            </w:pPr>
            <w:r w:rsidRPr="00584720">
              <w:rPr>
                <w:rFonts w:ascii="Times New Roman" w:eastAsia="Times New Roman" w:hAnsi="Times New Roman" w:cs="Times New Roman"/>
                <w:color w:val="000000"/>
              </w:rPr>
              <w:t xml:space="preserve">Repeatable </w:t>
            </w:r>
          </w:p>
          <w:p w:rsidR="006F2A17" w:rsidRPr="00584720" w:rsidRDefault="006F2A17" w:rsidP="0057074B">
            <w:pPr>
              <w:rPr>
                <w:rFonts w:ascii="Times New Roman" w:eastAsia="Times New Roman" w:hAnsi="Times New Roman" w:cs="Times New Roman"/>
              </w:rPr>
            </w:pPr>
          </w:p>
        </w:tc>
      </w:tr>
      <w:tr w:rsidR="006F2A17" w:rsidRPr="00584720" w:rsidTr="0057074B">
        <w:tc>
          <w:tcPr>
            <w:tcW w:w="155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submission-description</w:t>
            </w:r>
          </w:p>
        </w:tc>
        <w:tc>
          <w:tcPr>
            <w:tcW w:w="1134" w:type="dxa"/>
          </w:tcPr>
          <w:p w:rsidR="006F2A17" w:rsidRPr="00584720" w:rsidRDefault="006F2A17" w:rsidP="0057074B">
            <w:pPr>
              <w:jc w:val="both"/>
              <w:rPr>
                <w:rFonts w:ascii="Times New Roman" w:eastAsia="Times New Roman" w:hAnsi="Times New Roman" w:cs="Times New Roman"/>
              </w:rPr>
            </w:pPr>
          </w:p>
        </w:tc>
        <w:tc>
          <w:tcPr>
            <w:tcW w:w="3544"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 xml:space="preserve">This element is used to provide a short text description of the submission. </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The list below provides examples for such a field:</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Registration – registration materials for medicinal product “name of medicinal product” from applicant “name of applicant”;</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Type І and ІІ variations – registration materials on introduction of changes “scope of variation”;</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Responses to questions – response to questions from “title of expert committee”</w:t>
            </w:r>
          </w:p>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Additional materials – providing additional materials regarding…</w:t>
            </w:r>
          </w:p>
        </w:tc>
        <w:tc>
          <w:tcPr>
            <w:tcW w:w="1275"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 xml:space="preserve">Response to questions of Pharmaceutical Activity Department (PAD) </w:t>
            </w:r>
          </w:p>
        </w:tc>
        <w:tc>
          <w:tcPr>
            <w:tcW w:w="1276" w:type="dxa"/>
          </w:tcPr>
          <w:p w:rsidR="006F2A17" w:rsidRPr="00584720" w:rsidRDefault="00DD07F5" w:rsidP="0057074B">
            <w:pPr>
              <w:jc w:val="both"/>
              <w:rPr>
                <w:rFonts w:ascii="Times New Roman" w:eastAsia="Times New Roman" w:hAnsi="Times New Roman" w:cs="Times New Roman"/>
              </w:rPr>
            </w:pPr>
            <w:r w:rsidRPr="00584720">
              <w:rPr>
                <w:rFonts w:ascii="Times New Roman" w:eastAsia="Times New Roman" w:hAnsi="Times New Roman" w:cs="Times New Roman"/>
                <w:color w:val="000000"/>
              </w:rPr>
              <w:t>Mandatory</w:t>
            </w:r>
          </w:p>
        </w:tc>
        <w:tc>
          <w:tcPr>
            <w:tcW w:w="1417" w:type="dxa"/>
          </w:tcPr>
          <w:p w:rsidR="006F2A17" w:rsidRPr="00584720" w:rsidRDefault="001619CA" w:rsidP="0057074B">
            <w:pPr>
              <w:jc w:val="both"/>
              <w:rPr>
                <w:rFonts w:ascii="Times New Roman" w:eastAsia="Times New Roman" w:hAnsi="Times New Roman" w:cs="Times New Roman"/>
              </w:rPr>
            </w:pPr>
            <w:r w:rsidRPr="00584720">
              <w:rPr>
                <w:rFonts w:ascii="Times New Roman" w:eastAsia="Times New Roman" w:hAnsi="Times New Roman" w:cs="Times New Roman"/>
              </w:rPr>
              <w:t>Unique</w:t>
            </w:r>
          </w:p>
        </w:tc>
      </w:tr>
    </w:tbl>
    <w:p w:rsidR="006F2A17" w:rsidRPr="00584720" w:rsidRDefault="0057074B">
      <w:pPr>
        <w:jc w:val="both"/>
        <w:rPr>
          <w:rFonts w:ascii="Times New Roman" w:eastAsia="Times New Roman" w:hAnsi="Times New Roman" w:cs="Times New Roman"/>
          <w:b/>
          <w:sz w:val="24"/>
          <w:szCs w:val="24"/>
        </w:rPr>
      </w:pPr>
      <w:r w:rsidRPr="00584720">
        <w:rPr>
          <w:rFonts w:ascii="Times New Roman" w:eastAsia="Times New Roman" w:hAnsi="Times New Roman" w:cs="Times New Roman"/>
          <w:b/>
          <w:sz w:val="24"/>
          <w:szCs w:val="24"/>
        </w:rPr>
        <w:br w:type="textWrapping" w:clear="all"/>
      </w:r>
    </w:p>
    <w:p w:rsidR="006F2A17" w:rsidRPr="00584720" w:rsidRDefault="001619CA">
      <w:pPr>
        <w:jc w:val="center"/>
        <w:rPr>
          <w:rFonts w:ascii="Times New Roman" w:eastAsia="Times New Roman" w:hAnsi="Times New Roman" w:cs="Times New Roman"/>
          <w:sz w:val="24"/>
          <w:szCs w:val="24"/>
        </w:rPr>
      </w:pPr>
      <w:r w:rsidRPr="00584720">
        <w:rPr>
          <w:rFonts w:ascii="Times New Roman" w:eastAsia="Times New Roman" w:hAnsi="Times New Roman" w:cs="Times New Roman"/>
          <w:sz w:val="24"/>
          <w:szCs w:val="24"/>
        </w:rPr>
        <w:t>__________________________________</w:t>
      </w:r>
    </w:p>
    <w:sectPr w:rsidR="006F2A17" w:rsidRPr="00584720">
      <w:headerReference w:type="default" r:id="rId7"/>
      <w:pgSz w:w="12240" w:h="15840"/>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9CA" w:rsidRDefault="001619CA">
      <w:pPr>
        <w:spacing w:after="0" w:line="240" w:lineRule="auto"/>
      </w:pPr>
      <w:r>
        <w:separator/>
      </w:r>
    </w:p>
  </w:endnote>
  <w:endnote w:type="continuationSeparator" w:id="0">
    <w:p w:rsidR="001619CA" w:rsidRDefault="00161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9CA" w:rsidRDefault="001619CA">
      <w:pPr>
        <w:spacing w:after="0" w:line="240" w:lineRule="auto"/>
      </w:pPr>
      <w:r>
        <w:separator/>
      </w:r>
    </w:p>
  </w:footnote>
  <w:footnote w:type="continuationSeparator" w:id="0">
    <w:p w:rsidR="001619CA" w:rsidRDefault="001619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A17" w:rsidRDefault="001619CA" w:rsidP="0057074B">
    <w:pPr>
      <w:pBdr>
        <w:top w:val="nil"/>
        <w:left w:val="nil"/>
        <w:bottom w:val="nil"/>
        <w:right w:val="nil"/>
        <w:between w:val="nil"/>
      </w:pBdr>
      <w:tabs>
        <w:tab w:val="center" w:pos="4844"/>
        <w:tab w:val="center" w:pos="4986"/>
        <w:tab w:val="left" w:pos="7168"/>
        <w:tab w:val="right" w:pos="9923"/>
      </w:tabs>
      <w:spacing w:after="0" w:line="240" w:lineRule="auto"/>
      <w:rPr>
        <w:rFonts w:ascii="Times New Roman" w:eastAsia="Times New Roman" w:hAnsi="Times New Roman" w:cs="Times New Roman"/>
        <w:color w:val="000000"/>
        <w:sz w:val="24"/>
        <w:szCs w:val="24"/>
      </w:rPr>
    </w:pPr>
    <w:r>
      <w:rPr>
        <w:color w:val="000000"/>
      </w:rPr>
      <w:tab/>
    </w:r>
    <w:r>
      <w:rPr>
        <w:color w:val="000000"/>
        <w:sz w:val="24"/>
        <w:szCs w:val="24"/>
      </w:rPr>
      <w:tab/>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584720">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0057074B">
      <w:rPr>
        <w:rFonts w:ascii="Times New Roman" w:eastAsia="Times New Roman" w:hAnsi="Times New Roman" w:cs="Times New Roman"/>
        <w:color w:val="000000"/>
        <w:sz w:val="24"/>
        <w:szCs w:val="24"/>
      </w:rPr>
      <w:t>Appendix 1</w:t>
    </w:r>
    <w:r>
      <w:rPr>
        <w:rFonts w:ascii="Times New Roman" w:eastAsia="Times New Roman" w:hAnsi="Times New Roman" w:cs="Times New Roman"/>
        <w:color w:val="000000"/>
        <w:sz w:val="24"/>
        <w:szCs w:val="24"/>
      </w:rPr>
      <w:t>, continued</w:t>
    </w:r>
  </w:p>
  <w:p w:rsidR="006F2A17" w:rsidRDefault="006F2A17">
    <w:pPr>
      <w:pBdr>
        <w:top w:val="nil"/>
        <w:left w:val="nil"/>
        <w:bottom w:val="nil"/>
        <w:right w:val="nil"/>
        <w:between w:val="nil"/>
      </w:pBdr>
      <w:tabs>
        <w:tab w:val="center" w:pos="4844"/>
        <w:tab w:val="right" w:pos="9689"/>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A17"/>
    <w:rsid w:val="00061A08"/>
    <w:rsid w:val="00154346"/>
    <w:rsid w:val="001619CA"/>
    <w:rsid w:val="0057074B"/>
    <w:rsid w:val="00584720"/>
    <w:rsid w:val="006F2A17"/>
    <w:rsid w:val="00DD07F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662DCC-9F19-456B-8BC0-6CE91B348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1"/>
    <w:pPr>
      <w:spacing w:after="0" w:line="240" w:lineRule="auto"/>
    </w:pPr>
    <w:tblPr>
      <w:tblStyleRowBandSize w:val="1"/>
      <w:tblStyleColBandSize w:val="1"/>
      <w:tblCellMar>
        <w:left w:w="115" w:type="dxa"/>
        <w:right w:w="115" w:type="dxa"/>
      </w:tblCellMar>
    </w:tblPr>
  </w:style>
  <w:style w:type="table" w:customStyle="1" w:styleId="a6">
    <w:basedOn w:val="TableNormal1"/>
    <w:pPr>
      <w:spacing w:after="0" w:line="240" w:lineRule="auto"/>
    </w:pPr>
    <w:tblPr>
      <w:tblStyleRowBandSize w:val="1"/>
      <w:tblStyleColBandSize w:val="1"/>
      <w:tblCellMar>
        <w:left w:w="115" w:type="dxa"/>
        <w:right w:w="115" w:type="dxa"/>
      </w:tblCellMar>
    </w:tblPr>
  </w:style>
  <w:style w:type="table" w:customStyle="1" w:styleId="a7">
    <w:basedOn w:val="TableNormal1"/>
    <w:pPr>
      <w:spacing w:after="0" w:line="240" w:lineRule="auto"/>
    </w:pPr>
    <w:tblPr>
      <w:tblStyleRowBandSize w:val="1"/>
      <w:tblStyleColBandSize w:val="1"/>
      <w:tblCellMar>
        <w:left w:w="115" w:type="dxa"/>
        <w:right w:w="115" w:type="dxa"/>
      </w:tblCellMar>
    </w:tblPr>
  </w:style>
  <w:style w:type="table" w:customStyle="1" w:styleId="a8">
    <w:basedOn w:val="TableNormal1"/>
    <w:pPr>
      <w:spacing w:after="0" w:line="240" w:lineRule="auto"/>
    </w:pPr>
    <w:tblPr>
      <w:tblStyleRowBandSize w:val="1"/>
      <w:tblStyleColBandSize w:val="1"/>
      <w:tblCellMar>
        <w:left w:w="115" w:type="dxa"/>
        <w:right w:w="115" w:type="dxa"/>
      </w:tblCellMar>
    </w:tblPr>
  </w:style>
  <w:style w:type="table" w:customStyle="1" w:styleId="a9">
    <w:basedOn w:val="TableNormal1"/>
    <w:pPr>
      <w:spacing w:after="0" w:line="240" w:lineRule="auto"/>
    </w:pPr>
    <w:tblPr>
      <w:tblStyleRowBandSize w:val="1"/>
      <w:tblStyleColBandSize w:val="1"/>
      <w:tblCellMar>
        <w:left w:w="115" w:type="dxa"/>
        <w:right w:w="115" w:type="dxa"/>
      </w:tblCellMar>
    </w:tblPr>
  </w:style>
  <w:style w:type="table" w:customStyle="1" w:styleId="aa">
    <w:basedOn w:val="TableNormal1"/>
    <w:pPr>
      <w:spacing w:after="0" w:line="240" w:lineRule="auto"/>
    </w:pPr>
    <w:tblPr>
      <w:tblStyleRowBandSize w:val="1"/>
      <w:tblStyleColBandSize w:val="1"/>
      <w:tblCellMar>
        <w:left w:w="115" w:type="dxa"/>
        <w:right w:w="115" w:type="dxa"/>
      </w:tblCellMar>
    </w:tblPr>
  </w:style>
  <w:style w:type="table" w:customStyle="1" w:styleId="ab">
    <w:basedOn w:val="TableNormal1"/>
    <w:pPr>
      <w:spacing w:after="0" w:line="240" w:lineRule="auto"/>
    </w:pPr>
    <w:tblPr>
      <w:tblStyleRowBandSize w:val="1"/>
      <w:tblStyleColBandSize w:val="1"/>
      <w:tblCellMar>
        <w:left w:w="115" w:type="dxa"/>
        <w:right w:w="115" w:type="dxa"/>
      </w:tblCellMar>
    </w:tblPr>
  </w:style>
  <w:style w:type="table" w:customStyle="1" w:styleId="ac">
    <w:basedOn w:val="TableNormal1"/>
    <w:pPr>
      <w:spacing w:after="0" w:line="240" w:lineRule="auto"/>
    </w:pPr>
    <w:tblPr>
      <w:tblStyleRowBandSize w:val="1"/>
      <w:tblStyleColBandSize w:val="1"/>
      <w:tblCellMar>
        <w:left w:w="115" w:type="dxa"/>
        <w:right w:w="115" w:type="dxa"/>
      </w:tblCellMar>
    </w:tblPr>
  </w:style>
  <w:style w:type="table" w:customStyle="1" w:styleId="ad">
    <w:basedOn w:val="TableNormal1"/>
    <w:pPr>
      <w:spacing w:after="0" w:line="240" w:lineRule="auto"/>
    </w:pPr>
    <w:tblPr>
      <w:tblStyleRowBandSize w:val="1"/>
      <w:tblStyleColBandSize w:val="1"/>
      <w:tblCellMar>
        <w:left w:w="115" w:type="dxa"/>
        <w:right w:w="115" w:type="dxa"/>
      </w:tblCellMar>
    </w:tblPr>
  </w:style>
  <w:style w:type="table" w:customStyle="1" w:styleId="ae">
    <w:basedOn w:val="TableNormal1"/>
    <w:pPr>
      <w:spacing w:after="0" w:line="240" w:lineRule="auto"/>
    </w:pPr>
    <w:tblPr>
      <w:tblStyleRowBandSize w:val="1"/>
      <w:tblStyleColBandSize w:val="1"/>
      <w:tblCellMar>
        <w:left w:w="115" w:type="dxa"/>
        <w:right w:w="115" w:type="dxa"/>
      </w:tblCellMar>
    </w:tblPr>
  </w:style>
  <w:style w:type="table" w:customStyle="1" w:styleId="af">
    <w:basedOn w:val="TableNormal1"/>
    <w:pPr>
      <w:spacing w:after="0" w:line="240" w:lineRule="auto"/>
    </w:pPr>
    <w:tblPr>
      <w:tblStyleRowBandSize w:val="1"/>
      <w:tblStyleColBandSize w:val="1"/>
      <w:tblCellMar>
        <w:left w:w="115" w:type="dxa"/>
        <w:right w:w="115" w:type="dxa"/>
      </w:tblCellMar>
    </w:tblPr>
  </w:style>
  <w:style w:type="table" w:customStyle="1" w:styleId="af0">
    <w:basedOn w:val="TableNormal1"/>
    <w:pPr>
      <w:spacing w:after="0" w:line="240" w:lineRule="auto"/>
    </w:pPr>
    <w:tblPr>
      <w:tblStyleRowBandSize w:val="1"/>
      <w:tblStyleColBandSize w:val="1"/>
      <w:tblCellMar>
        <w:left w:w="115" w:type="dxa"/>
        <w:right w:w="115" w:type="dxa"/>
      </w:tblCellMar>
    </w:tblPr>
  </w:style>
  <w:style w:type="table" w:customStyle="1" w:styleId="af1">
    <w:basedOn w:val="TableNormal1"/>
    <w:pPr>
      <w:spacing w:after="0" w:line="240" w:lineRule="auto"/>
    </w:pPr>
    <w:tblPr>
      <w:tblStyleRowBandSize w:val="1"/>
      <w:tblStyleColBandSize w:val="1"/>
      <w:tblCellMar>
        <w:left w:w="115" w:type="dxa"/>
        <w:right w:w="115" w:type="dxa"/>
      </w:tblCellMar>
    </w:tblPr>
  </w:style>
  <w:style w:type="table" w:customStyle="1" w:styleId="af2">
    <w:basedOn w:val="TableNormal1"/>
    <w:pPr>
      <w:spacing w:after="0" w:line="240" w:lineRule="auto"/>
    </w:pPr>
    <w:tblPr>
      <w:tblStyleRowBandSize w:val="1"/>
      <w:tblStyleColBandSize w:val="1"/>
      <w:tblCellMar>
        <w:left w:w="115" w:type="dxa"/>
        <w:right w:w="115" w:type="dxa"/>
      </w:tblCellMar>
    </w:tblPr>
  </w:style>
  <w:style w:type="table" w:customStyle="1" w:styleId="af3">
    <w:basedOn w:val="TableNormal1"/>
    <w:pPr>
      <w:spacing w:after="0" w:line="240" w:lineRule="auto"/>
    </w:pPr>
    <w:tblPr>
      <w:tblStyleRowBandSize w:val="1"/>
      <w:tblStyleColBandSize w:val="1"/>
      <w:tblCellMar>
        <w:left w:w="115" w:type="dxa"/>
        <w:right w:w="115" w:type="dxa"/>
      </w:tblCellMar>
    </w:tblPr>
  </w:style>
  <w:style w:type="table" w:customStyle="1" w:styleId="af4">
    <w:basedOn w:val="TableNormal1"/>
    <w:pPr>
      <w:spacing w:after="0" w:line="240" w:lineRule="auto"/>
    </w:pPr>
    <w:tblPr>
      <w:tblStyleRowBandSize w:val="1"/>
      <w:tblStyleColBandSize w:val="1"/>
      <w:tblCellMar>
        <w:left w:w="115" w:type="dxa"/>
        <w:right w:w="115" w:type="dxa"/>
      </w:tblCellMar>
    </w:tblPr>
  </w:style>
  <w:style w:type="table" w:customStyle="1" w:styleId="af5">
    <w:basedOn w:val="TableNormal1"/>
    <w:pPr>
      <w:spacing w:after="0" w:line="240" w:lineRule="auto"/>
    </w:pPr>
    <w:tblPr>
      <w:tblStyleRowBandSize w:val="1"/>
      <w:tblStyleColBandSize w:val="1"/>
      <w:tblCellMar>
        <w:left w:w="115" w:type="dxa"/>
        <w:right w:w="115" w:type="dxa"/>
      </w:tblCellMar>
    </w:tblPr>
  </w:style>
  <w:style w:type="table" w:customStyle="1" w:styleId="af6">
    <w:basedOn w:val="TableNormal1"/>
    <w:pPr>
      <w:spacing w:after="0" w:line="240" w:lineRule="auto"/>
    </w:pPr>
    <w:tblPr>
      <w:tblStyleRowBandSize w:val="1"/>
      <w:tblStyleColBandSize w:val="1"/>
      <w:tblCellMar>
        <w:left w:w="115" w:type="dxa"/>
        <w:right w:w="115" w:type="dxa"/>
      </w:tblCellMar>
    </w:tblPr>
  </w:style>
  <w:style w:type="table" w:customStyle="1" w:styleId="af7">
    <w:basedOn w:val="TableNormal1"/>
    <w:pPr>
      <w:spacing w:after="0" w:line="240" w:lineRule="auto"/>
    </w:pPr>
    <w:tblPr>
      <w:tblStyleRowBandSize w:val="1"/>
      <w:tblStyleColBandSize w:val="1"/>
      <w:tblCellMar>
        <w:left w:w="115" w:type="dxa"/>
        <w:right w:w="115" w:type="dxa"/>
      </w:tblCellMar>
    </w:tblPr>
  </w:style>
  <w:style w:type="table" w:customStyle="1" w:styleId="af8">
    <w:basedOn w:val="TableNormal1"/>
    <w:pPr>
      <w:spacing w:after="0" w:line="240" w:lineRule="auto"/>
    </w:pPr>
    <w:tblPr>
      <w:tblStyleRowBandSize w:val="1"/>
      <w:tblStyleColBandSize w:val="1"/>
      <w:tblCellMar>
        <w:left w:w="115" w:type="dxa"/>
        <w:right w:w="115" w:type="dxa"/>
      </w:tblCellMar>
    </w:tblPr>
  </w:style>
  <w:style w:type="table" w:customStyle="1" w:styleId="af9">
    <w:basedOn w:val="TableNormal1"/>
    <w:pPr>
      <w:spacing w:after="0" w:line="240" w:lineRule="auto"/>
    </w:pPr>
    <w:tblPr>
      <w:tblStyleRowBandSize w:val="1"/>
      <w:tblStyleColBandSize w:val="1"/>
      <w:tblCellMar>
        <w:left w:w="115" w:type="dxa"/>
        <w:right w:w="115" w:type="dxa"/>
      </w:tblCellMar>
    </w:tblPr>
  </w:style>
  <w:style w:type="table" w:customStyle="1" w:styleId="afa">
    <w:basedOn w:val="TableNormal1"/>
    <w:pPr>
      <w:spacing w:after="0" w:line="240" w:lineRule="auto"/>
    </w:pPr>
    <w:tblPr>
      <w:tblStyleRowBandSize w:val="1"/>
      <w:tblStyleColBandSize w:val="1"/>
      <w:tblCellMar>
        <w:left w:w="115" w:type="dxa"/>
        <w:right w:w="115" w:type="dxa"/>
      </w:tblCellMar>
    </w:tblPr>
  </w:style>
  <w:style w:type="paragraph" w:styleId="afb">
    <w:name w:val="Balloon Text"/>
    <w:basedOn w:val="a"/>
    <w:link w:val="afc"/>
    <w:uiPriority w:val="99"/>
    <w:semiHidden/>
    <w:unhideWhenUsed/>
    <w:rsid w:val="004276CB"/>
    <w:pPr>
      <w:spacing w:after="0" w:line="240" w:lineRule="auto"/>
    </w:pPr>
    <w:rPr>
      <w:rFonts w:ascii="Segoe UI" w:hAnsi="Segoe UI" w:cs="Segoe UI"/>
      <w:sz w:val="18"/>
      <w:szCs w:val="18"/>
    </w:rPr>
  </w:style>
  <w:style w:type="character" w:customStyle="1" w:styleId="afc">
    <w:name w:val="Текст выноски Знак"/>
    <w:basedOn w:val="a0"/>
    <w:link w:val="afb"/>
    <w:uiPriority w:val="99"/>
    <w:semiHidden/>
    <w:rsid w:val="004276CB"/>
    <w:rPr>
      <w:rFonts w:ascii="Segoe UI" w:hAnsi="Segoe UI" w:cs="Segoe UI"/>
      <w:sz w:val="18"/>
      <w:szCs w:val="18"/>
    </w:rPr>
  </w:style>
  <w:style w:type="paragraph" w:styleId="afd">
    <w:name w:val="header"/>
    <w:basedOn w:val="a"/>
    <w:link w:val="afe"/>
    <w:uiPriority w:val="99"/>
    <w:unhideWhenUsed/>
    <w:rsid w:val="001C6CE8"/>
    <w:pPr>
      <w:tabs>
        <w:tab w:val="center" w:pos="4844"/>
        <w:tab w:val="right" w:pos="9689"/>
      </w:tabs>
      <w:spacing w:after="0" w:line="240" w:lineRule="auto"/>
    </w:pPr>
  </w:style>
  <w:style w:type="character" w:customStyle="1" w:styleId="afe">
    <w:name w:val="Верхний колонтитул Знак"/>
    <w:basedOn w:val="a0"/>
    <w:link w:val="afd"/>
    <w:uiPriority w:val="99"/>
    <w:rsid w:val="001C6CE8"/>
  </w:style>
  <w:style w:type="paragraph" w:styleId="aff">
    <w:name w:val="footer"/>
    <w:basedOn w:val="a"/>
    <w:link w:val="aff0"/>
    <w:uiPriority w:val="99"/>
    <w:unhideWhenUsed/>
    <w:rsid w:val="001C6CE8"/>
    <w:pPr>
      <w:tabs>
        <w:tab w:val="center" w:pos="4844"/>
        <w:tab w:val="right" w:pos="9689"/>
      </w:tabs>
      <w:spacing w:after="0" w:line="240" w:lineRule="auto"/>
    </w:pPr>
  </w:style>
  <w:style w:type="character" w:customStyle="1" w:styleId="aff0">
    <w:name w:val="Нижний колонтитул Знак"/>
    <w:basedOn w:val="a0"/>
    <w:link w:val="aff"/>
    <w:uiPriority w:val="99"/>
    <w:rsid w:val="001C6CE8"/>
  </w:style>
  <w:style w:type="table" w:customStyle="1" w:styleId="aff1">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Y/Ro5T36NUvqnDGRSEZQjSWijw==">CgMxLjAyCWguMzBqMHpsbDIIaC5namRneHM4AHIhMWtEMWluV0V1N1JoeFF5QnZCN2RUQzMzRjdVcnhNQWFv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755</Words>
  <Characters>4306</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Солод Андрій Григорович</dc:creator>
  <cp:lastModifiedBy>Леонтьєва Анна Георгіївна</cp:lastModifiedBy>
  <cp:revision>4</cp:revision>
  <dcterms:created xsi:type="dcterms:W3CDTF">2024-05-01T12:41:00Z</dcterms:created>
  <dcterms:modified xsi:type="dcterms:W3CDTF">2024-05-02T06:30:00Z</dcterms:modified>
</cp:coreProperties>
</file>